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spacing w:line="480" w:lineRule="auto"/>
        <w:rPr>
          <w:rFonts w:ascii="Times New Roman" w:cs="Times New Roman" w:hAnsi="Times New Roman" w:eastAsia="Times New Roman"/>
          <w:sz w:val="24"/>
          <w:szCs w:val="24"/>
        </w:rPr>
      </w:pPr>
      <w:r>
        <w:rPr>
          <w:rFonts w:ascii="Times New Roman" w:hAnsi="Times New Roman"/>
          <w:sz w:val="24"/>
          <w:szCs w:val="24"/>
          <w:rtl w:val="0"/>
          <w:lang w:val="en-US"/>
        </w:rPr>
        <w:t xml:space="preserve">Emilly De Souza </w:t>
      </w:r>
    </w:p>
    <w:p>
      <w:pPr>
        <w:pStyle w:val="Body"/>
        <w:spacing w:line="480" w:lineRule="auto"/>
        <w:rPr>
          <w:rFonts w:ascii="Times New Roman" w:cs="Times New Roman" w:hAnsi="Times New Roman" w:eastAsia="Times New Roman"/>
          <w:sz w:val="24"/>
          <w:szCs w:val="24"/>
        </w:rPr>
      </w:pPr>
      <w:r>
        <w:rPr>
          <w:rFonts w:ascii="Times New Roman" w:hAnsi="Times New Roman"/>
          <w:sz w:val="24"/>
          <w:szCs w:val="24"/>
          <w:rtl w:val="0"/>
          <w:lang w:val="en-US"/>
        </w:rPr>
        <w:t xml:space="preserve">Professor Garcia </w:t>
      </w:r>
    </w:p>
    <w:p>
      <w:pPr>
        <w:pStyle w:val="Body"/>
        <w:spacing w:line="480" w:lineRule="auto"/>
        <w:rPr>
          <w:rFonts w:ascii="Times New Roman" w:cs="Times New Roman" w:hAnsi="Times New Roman" w:eastAsia="Times New Roman"/>
          <w:sz w:val="24"/>
          <w:szCs w:val="24"/>
        </w:rPr>
      </w:pPr>
      <w:r>
        <w:rPr>
          <w:rFonts w:ascii="Times New Roman" w:hAnsi="Times New Roman"/>
          <w:sz w:val="24"/>
          <w:szCs w:val="24"/>
          <w:rtl w:val="0"/>
          <w:lang w:val="en-US"/>
        </w:rPr>
        <w:t xml:space="preserve">The Messiah </w:t>
      </w:r>
    </w:p>
    <w:p>
      <w:pPr>
        <w:pStyle w:val="Body"/>
        <w:spacing w:line="480" w:lineRule="auto"/>
        <w:jc w:val="both"/>
        <w:rPr>
          <w:rFonts w:ascii="Times New Roman" w:cs="Times New Roman" w:hAnsi="Times New Roman" w:eastAsia="Times New Roman"/>
          <w:sz w:val="24"/>
          <w:szCs w:val="24"/>
        </w:rPr>
      </w:pPr>
      <w:r>
        <w:rPr>
          <w:rFonts w:ascii="Times New Roman" w:hAnsi="Times New Roman"/>
          <w:sz w:val="24"/>
          <w:szCs w:val="24"/>
          <w:rtl w:val="0"/>
          <w:lang w:val="en-US"/>
        </w:rPr>
        <w:t xml:space="preserve">14 March 2023 </w:t>
      </w:r>
    </w:p>
    <w:p>
      <w:pPr>
        <w:pStyle w:val="Body"/>
        <w:spacing w:line="480" w:lineRule="auto"/>
        <w:jc w:val="center"/>
        <w:rPr>
          <w:rFonts w:ascii="Times New Roman" w:cs="Times New Roman" w:hAnsi="Times New Roman" w:eastAsia="Times New Roman"/>
          <w:sz w:val="24"/>
          <w:szCs w:val="24"/>
        </w:rPr>
      </w:pPr>
      <w:r>
        <w:rPr>
          <w:rFonts w:ascii="Times New Roman" w:hAnsi="Times New Roman"/>
          <w:sz w:val="24"/>
          <w:szCs w:val="24"/>
          <w:rtl w:val="0"/>
          <w:lang w:val="en-US"/>
        </w:rPr>
        <w:t xml:space="preserve">Kingdom of God II: Jubilee Redemption and the Forgiveness of Sin </w:t>
      </w:r>
    </w:p>
    <w:p>
      <w:pPr>
        <w:pStyle w:val="Body"/>
        <w:spacing w:line="480" w:lineRule="auto"/>
        <w:jc w:val="center"/>
        <w:rPr>
          <w:rFonts w:ascii="Times New Roman" w:cs="Times New Roman" w:hAnsi="Times New Roman" w:eastAsia="Times New Roman"/>
          <w:sz w:val="24"/>
          <w:szCs w:val="24"/>
        </w:rPr>
      </w:pPr>
      <w:r>
        <w:rPr>
          <w:rFonts w:ascii="Times New Roman" w:hAnsi="Times New Roman"/>
          <w:sz w:val="24"/>
          <w:szCs w:val="24"/>
          <w:rtl w:val="0"/>
          <w:lang w:val="en-US"/>
        </w:rPr>
        <w:t>(</w:t>
      </w:r>
      <w:r>
        <w:rPr>
          <w:rFonts w:ascii="Times New Roman" w:hAnsi="Times New Roman" w:hint="default"/>
          <w:sz w:val="24"/>
          <w:szCs w:val="24"/>
          <w:rtl w:val="0"/>
          <w:lang w:val="en-US"/>
        </w:rPr>
        <w:t xml:space="preserve">“ </w:t>
      </w:r>
      <w:r>
        <w:rPr>
          <w:rFonts w:ascii="Times New Roman" w:hAnsi="Times New Roman"/>
          <w:sz w:val="24"/>
          <w:szCs w:val="24"/>
          <w:rtl w:val="0"/>
          <w:lang w:val="en-US"/>
        </w:rPr>
        <w:t>Release from Debt</w:t>
      </w:r>
      <w:r>
        <w:rPr>
          <w:rFonts w:ascii="Times New Roman" w:hAnsi="Times New Roman" w:hint="default"/>
          <w:sz w:val="24"/>
          <w:szCs w:val="24"/>
          <w:rtl w:val="0"/>
          <w:lang w:val="en-US"/>
        </w:rPr>
        <w:t>”</w:t>
      </w:r>
      <w:r>
        <w:rPr>
          <w:rFonts w:ascii="Times New Roman" w:hAnsi="Times New Roman"/>
          <w:sz w:val="24"/>
          <w:szCs w:val="24"/>
          <w:rtl w:val="0"/>
          <w:lang w:val="en-US"/>
        </w:rPr>
        <w:t>)</w:t>
      </w: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r>
        <w:rPr>
          <w:rFonts w:ascii="Times New Roman" w:cs="Times New Roman" w:hAnsi="Times New Roman" w:eastAsia="Times New Roman"/>
          <w:sz w:val="24"/>
          <w:szCs w:val="24"/>
          <w:rtl w:val="0"/>
        </w:rPr>
        <w:tab/>
        <w:t xml:space="preserve">In Isaiah 40:2, </w:t>
      </w:r>
      <w:r>
        <w:rPr>
          <w:rFonts w:ascii="Times New Roman" w:hAnsi="Times New Roman" w:hint="default"/>
          <w:sz w:val="24"/>
          <w:szCs w:val="24"/>
          <w:rtl w:val="0"/>
          <w:lang w:val="en-US"/>
        </w:rPr>
        <w:t>“</w:t>
      </w:r>
      <w:r>
        <w:rPr>
          <w:rFonts w:ascii="Times New Roman" w:hAnsi="Times New Roman"/>
          <w:sz w:val="24"/>
          <w:szCs w:val="24"/>
          <w:rtl w:val="0"/>
          <w:lang w:val="en-US"/>
        </w:rPr>
        <w:t>Speak tenderly to Jerusalem, and declare to her that her term of service is over, that the debt owed for her iniquity has been satisfied.</w:t>
      </w:r>
      <w:r>
        <w:rPr>
          <w:rFonts w:ascii="Times New Roman" w:hAnsi="Times New Roman" w:hint="default"/>
          <w:sz w:val="24"/>
          <w:szCs w:val="24"/>
          <w:rtl w:val="0"/>
          <w:lang w:val="en-US"/>
        </w:rPr>
        <w:t xml:space="preserve">” </w:t>
      </w:r>
      <w:r>
        <w:rPr>
          <w:rFonts w:ascii="Times New Roman" w:hAnsi="Times New Roman"/>
          <w:sz w:val="24"/>
          <w:szCs w:val="24"/>
          <w:rtl w:val="0"/>
          <w:lang w:val="en-US"/>
        </w:rPr>
        <w:t>This metaphor of sin as a debt has been established in the texts of the Hebrew Bible specifically in the document known as Second Isaiah. This metaphor that is known in Isaiah</w:t>
      </w:r>
      <w:r>
        <w:rPr>
          <w:rFonts w:ascii="Times New Roman" w:hAnsi="Times New Roman" w:hint="default"/>
          <w:sz w:val="24"/>
          <w:szCs w:val="24"/>
          <w:rtl w:val="0"/>
          <w:lang w:val="en-US"/>
        </w:rPr>
        <w:t>’</w:t>
      </w:r>
      <w:r>
        <w:rPr>
          <w:rFonts w:ascii="Times New Roman" w:hAnsi="Times New Roman"/>
          <w:sz w:val="24"/>
          <w:szCs w:val="24"/>
          <w:rtl w:val="0"/>
          <w:lang w:val="en-US"/>
        </w:rPr>
        <w:t>s perception and interpretation of how Israel made the fulfillment for their sins and it is important because of the matter regarding penance and the doctrine of the atonement. The book of Isaiah is divided into two but has three different works, one has the book that is chapter 1-39 that is based on the prophet Isaiah, who carried out his ministry in Jerusalem, second part is chapters 40-66 that work was written from someone anonymous, this person wrote under Isaiah lived in the Babylonian exile and this person is referred as the second Isaiah. In Second Isaiah it explains thoroughly how the people were mourning because of their guilt for the devastation that occurred in their homeland and the people full of enthusiasm waited for a word for that they may return. In the year 539-538 BCE, Persian emperor Cyrus decreed and allowed the people of Israel to return to the land of Israel and to start rebuilding the temple. In Isaiah 40:3 is correlated with the four gospels because these gospels quotes on Isaiah 40:3 specifically Luke in relation towards John the the Baptist. The gospels sees Joh the Baptist</w:t>
      </w:r>
      <w:r>
        <w:rPr>
          <w:rFonts w:ascii="Times New Roman" w:hAnsi="Times New Roman" w:hint="default"/>
          <w:sz w:val="24"/>
          <w:szCs w:val="24"/>
          <w:rtl w:val="0"/>
          <w:lang w:val="en-US"/>
        </w:rPr>
        <w:t>’</w:t>
      </w:r>
      <w:r>
        <w:rPr>
          <w:rFonts w:ascii="Times New Roman" w:hAnsi="Times New Roman"/>
          <w:sz w:val="24"/>
          <w:szCs w:val="24"/>
          <w:rtl w:val="0"/>
          <w:lang w:val="en-US"/>
        </w:rPr>
        <w:t>s place in the wilderness as a fulfillment of  Isaiah 40:3.</w:t>
      </w: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rPr>
          <w:rFonts w:ascii="Times New Roman" w:cs="Times New Roman" w:hAnsi="Times New Roman" w:eastAsia="Times New Roman"/>
          <w:sz w:val="24"/>
          <w:szCs w:val="24"/>
        </w:rPr>
      </w:pPr>
    </w:p>
    <w:p>
      <w:pPr>
        <w:pStyle w:val="Body"/>
        <w:spacing w:line="480" w:lineRule="auto"/>
        <w:jc w:val="left"/>
      </w:pPr>
      <w:r>
        <w:rPr>
          <w:rFonts w:ascii="Times New Roman" w:cs="Times New Roman" w:hAnsi="Times New Roman" w:eastAsia="Times New Roman"/>
          <w:sz w:val="24"/>
          <w:szCs w:val="24"/>
        </w:r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